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6EA8" w14:textId="27B4E65B" w:rsidR="003F3414" w:rsidRDefault="00F8333A" w:rsidP="003F3414">
      <w:pPr>
        <w:jc w:val="center"/>
        <w:rPr>
          <w:b/>
        </w:rPr>
      </w:pPr>
      <w:r>
        <w:rPr>
          <w:b/>
        </w:rPr>
        <w:t xml:space="preserve">New </w:t>
      </w:r>
      <w:r w:rsidR="003F3414">
        <w:rPr>
          <w:b/>
        </w:rPr>
        <w:t>Statewide Transit Policy</w:t>
      </w:r>
      <w:r w:rsidR="00D05945">
        <w:rPr>
          <w:b/>
        </w:rPr>
        <w:t xml:space="preserve"> Development</w:t>
      </w:r>
    </w:p>
    <w:p w14:paraId="2242BB54" w14:textId="1035D35F" w:rsidR="00F8333A" w:rsidRPr="00F8333A" w:rsidRDefault="00F8333A" w:rsidP="003F3414">
      <w:r>
        <w:t>B</w:t>
      </w:r>
      <w:r w:rsidR="003F3414">
        <w:t xml:space="preserve">elow </w:t>
      </w:r>
      <w:r>
        <w:t xml:space="preserve">is input on </w:t>
      </w:r>
      <w:r w:rsidR="003F3414">
        <w:t>working items to support development of new statewide transit capital program policy currently being deliberated by TSDAC</w:t>
      </w:r>
      <w:r w:rsidR="00D05945">
        <w:t xml:space="preserve"> and DRPT</w:t>
      </w:r>
      <w:r>
        <w:t>:</w:t>
      </w:r>
    </w:p>
    <w:p w14:paraId="0A2B95C2" w14:textId="573B8AA5" w:rsidR="003F3414" w:rsidRDefault="003F3414" w:rsidP="003F3414">
      <w:pPr>
        <w:rPr>
          <w:b/>
        </w:rPr>
      </w:pPr>
      <w:r>
        <w:rPr>
          <w:b/>
          <w:noProof/>
        </w:rPr>
        <mc:AlternateContent>
          <mc:Choice Requires="wps">
            <w:drawing>
              <wp:anchor distT="0" distB="0" distL="114300" distR="114300" simplePos="0" relativeHeight="251659264" behindDoc="0" locked="0" layoutInCell="1" allowOverlap="1" wp14:anchorId="6C7121FD" wp14:editId="2693C92B">
                <wp:simplePos x="0" y="0"/>
                <wp:positionH relativeFrom="column">
                  <wp:posOffset>-152400</wp:posOffset>
                </wp:positionH>
                <wp:positionV relativeFrom="paragraph">
                  <wp:posOffset>168910</wp:posOffset>
                </wp:positionV>
                <wp:extent cx="6315075" cy="4572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15075" cy="457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D8D99" id="Rectangle 1" o:spid="_x0000_s1026" style="position:absolute;margin-left:-12pt;margin-top:13.3pt;width:497.25pt;height:5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" filled="f" strokecolor="black [3213]" strokeweight="1pt"/>
            </w:pict>
          </mc:Fallback>
        </mc:AlternateContent>
      </w:r>
    </w:p>
    <w:p w14:paraId="145B9264" w14:textId="74F0B198" w:rsidR="003F3414" w:rsidRDefault="003F3414" w:rsidP="003F3414">
      <w:pPr>
        <w:rPr>
          <w:b/>
        </w:rPr>
      </w:pPr>
      <w:r w:rsidRPr="00CC267A">
        <w:rPr>
          <w:b/>
        </w:rPr>
        <w:t xml:space="preserve">Remove “Cost Effectiveness” Score from </w:t>
      </w:r>
      <w:r>
        <w:rPr>
          <w:b/>
        </w:rPr>
        <w:t xml:space="preserve">Proposed </w:t>
      </w:r>
      <w:r w:rsidRPr="00CC267A">
        <w:rPr>
          <w:b/>
        </w:rPr>
        <w:t>Process of Ranking Major Expansion Projects.</w:t>
      </w:r>
    </w:p>
    <w:p w14:paraId="180BCDD0" w14:textId="77777777" w:rsidR="003F3414" w:rsidRDefault="003F3414" w:rsidP="003F3414">
      <w:r w:rsidRPr="00CC267A">
        <w:t xml:space="preserve"> The proposed “Cost Effectiveness” scoring</w:t>
      </w:r>
      <w:r>
        <w:t>:</w:t>
      </w:r>
    </w:p>
    <w:p w14:paraId="17E362FB" w14:textId="77777777" w:rsidR="003F3414" w:rsidRDefault="003F3414" w:rsidP="003F3414">
      <w:pPr>
        <w:pStyle w:val="ListParagraph"/>
        <w:numPr>
          <w:ilvl w:val="0"/>
          <w:numId w:val="1"/>
        </w:numPr>
      </w:pPr>
      <w:r w:rsidRPr="00CC267A">
        <w:t xml:space="preserve">does not </w:t>
      </w:r>
      <w:r>
        <w:t xml:space="preserve">truly </w:t>
      </w:r>
      <w:r w:rsidRPr="00CC267A">
        <w:t>reflect cost effectiveness of a project or</w:t>
      </w:r>
      <w:r>
        <w:t>;</w:t>
      </w:r>
    </w:p>
    <w:p w14:paraId="0958F66D" w14:textId="77777777" w:rsidR="003F3414" w:rsidRPr="00CC267A" w:rsidRDefault="003F3414" w:rsidP="003F3414">
      <w:pPr>
        <w:pStyle w:val="ListParagraph"/>
        <w:numPr>
          <w:ilvl w:val="0"/>
          <w:numId w:val="1"/>
        </w:numPr>
      </w:pPr>
      <w:r w:rsidRPr="00CC267A">
        <w:t xml:space="preserve">provide any indication of the merits of a project by itself or in comparison to any other projects. Therefore, it has no value in </w:t>
      </w:r>
      <w:r>
        <w:t xml:space="preserve">competitively </w:t>
      </w:r>
      <w:r w:rsidRPr="00CC267A">
        <w:t>ranking projects</w:t>
      </w:r>
      <w:r>
        <w:t xml:space="preserve"> from across the Commonwealth</w:t>
      </w:r>
      <w:r w:rsidRPr="00CC267A">
        <w:t>.</w:t>
      </w:r>
      <w:r>
        <w:t xml:space="preserve"> </w:t>
      </w:r>
      <w:r w:rsidRPr="00CC267A">
        <w:t>Rather, the proposed “Cost Effectiveness” Score is</w:t>
      </w:r>
      <w:r>
        <w:t>,</w:t>
      </w:r>
      <w:r w:rsidRPr="00CC267A">
        <w:t xml:space="preserve"> in effect</w:t>
      </w:r>
      <w:r>
        <w:t>,</w:t>
      </w:r>
      <w:r w:rsidRPr="00CC267A">
        <w:t xml:space="preserve"> a means to show how potential State funding (State share of a total project cost) would be leveraged using Non-State Funding sources.</w:t>
      </w:r>
      <w:r>
        <w:t xml:space="preserve">  </w:t>
      </w:r>
    </w:p>
    <w:p w14:paraId="34F272C3" w14:textId="77777777" w:rsidR="003F3414" w:rsidRDefault="003F3414" w:rsidP="003F3414">
      <w:r w:rsidRPr="00CC267A">
        <w:t>Regions outside of Northern Virginia do not have</w:t>
      </w:r>
      <w:r>
        <w:t>:</w:t>
      </w:r>
    </w:p>
    <w:p w14:paraId="54298166" w14:textId="77777777" w:rsidR="003F3414" w:rsidRDefault="003F3414" w:rsidP="003F3414">
      <w:pPr>
        <w:pStyle w:val="ListParagraph"/>
        <w:numPr>
          <w:ilvl w:val="0"/>
          <w:numId w:val="2"/>
        </w:numPr>
      </w:pPr>
      <w:r w:rsidRPr="00CC267A">
        <w:t>comparable diversity of funding sources and</w:t>
      </w:r>
      <w:r>
        <w:t>;</w:t>
      </w:r>
    </w:p>
    <w:p w14:paraId="575608BC" w14:textId="3383BD3D" w:rsidR="003F3414" w:rsidRPr="00CC267A" w:rsidRDefault="003F3414" w:rsidP="003F3414">
      <w:pPr>
        <w:pStyle w:val="ListParagraph"/>
        <w:numPr>
          <w:ilvl w:val="0"/>
          <w:numId w:val="2"/>
        </w:numPr>
      </w:pPr>
      <w:r w:rsidRPr="00CC267A">
        <w:t xml:space="preserve">levels of overall funding available for major transit projects that could be relied upon to potentially boost a project’s score and potential ranking. </w:t>
      </w:r>
      <w:r>
        <w:t xml:space="preserve"> </w:t>
      </w:r>
      <w:r w:rsidRPr="00CC267A">
        <w:t>Removing the “Cost Effectiveness” step will be consistent with TSDAC Guiding Principles to ensure integrity of the statewide program, mitigating risks of disparities across regions of the Commonwealth and transit providers of different sizes.</w:t>
      </w:r>
    </w:p>
    <w:p w14:paraId="1A99F69B" w14:textId="24C6B1C5" w:rsidR="003F3414" w:rsidRDefault="003F3414" w:rsidP="003F3414">
      <w:r>
        <w:t xml:space="preserve">Under current proposal, the State is only going to fund up to 50% of a major expansion project. The “Cost Effectiveness” score is going to “award points” to those project sponsors that come in with projects that “overmatch” with other sources of funds such as federal, local or private third-party funds. </w:t>
      </w:r>
    </w:p>
    <w:p w14:paraId="1F9657C6" w14:textId="3352D6F7" w:rsidR="003F3414" w:rsidRPr="00BE5331" w:rsidRDefault="003F3414" w:rsidP="003F3414">
      <w:pPr>
        <w:rPr>
          <w:b/>
        </w:rPr>
      </w:pPr>
      <w:r w:rsidRPr="00BE5331">
        <w:rPr>
          <w:b/>
        </w:rPr>
        <w:t xml:space="preserve">Equity of the Statewide Capital Program as it relates to evaluating Major Expansion projects would be better served by evaluating the ratio of Total Project Costs to Total Project Benefits.  </w:t>
      </w:r>
    </w:p>
    <w:p w14:paraId="65B21AFF" w14:textId="0270E3D7" w:rsidR="003F3414" w:rsidRDefault="003F3414" w:rsidP="003F3414">
      <w:r>
        <w:rPr>
          <w:b/>
          <w:noProof/>
        </w:rPr>
        <mc:AlternateContent>
          <mc:Choice Requires="wps">
            <w:drawing>
              <wp:anchor distT="0" distB="0" distL="114300" distR="114300" simplePos="0" relativeHeight="251661312" behindDoc="0" locked="0" layoutInCell="1" allowOverlap="1" wp14:anchorId="10CB4771" wp14:editId="71A11390">
                <wp:simplePos x="0" y="0"/>
                <wp:positionH relativeFrom="column">
                  <wp:posOffset>-152400</wp:posOffset>
                </wp:positionH>
                <wp:positionV relativeFrom="paragraph">
                  <wp:posOffset>168275</wp:posOffset>
                </wp:positionV>
                <wp:extent cx="6315075" cy="1857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315075" cy="1857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7AEDF2" id="Rectangle 2" o:spid="_x0000_s1026" style="position:absolute;margin-left:-12pt;margin-top:13.25pt;width:497.25pt;height:14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" filled="f" strokecolor="windowText" strokeweight="1pt"/>
            </w:pict>
          </mc:Fallback>
        </mc:AlternateContent>
      </w:r>
    </w:p>
    <w:p w14:paraId="7CC2A131" w14:textId="30464410" w:rsidR="003F3414" w:rsidRPr="00BE5331" w:rsidRDefault="003F3414" w:rsidP="003F3414">
      <w:pPr>
        <w:rPr>
          <w:b/>
        </w:rPr>
      </w:pPr>
      <w:r w:rsidRPr="00BE5331">
        <w:rPr>
          <w:b/>
        </w:rPr>
        <w:t xml:space="preserve">Cap Total “Major Expansion” Grant Funding Allocated to any </w:t>
      </w:r>
      <w:r>
        <w:rPr>
          <w:b/>
        </w:rPr>
        <w:t>O</w:t>
      </w:r>
      <w:r w:rsidRPr="00BE5331">
        <w:rPr>
          <w:b/>
        </w:rPr>
        <w:t xml:space="preserve">ne or </w:t>
      </w:r>
      <w:r>
        <w:rPr>
          <w:b/>
        </w:rPr>
        <w:t>T</w:t>
      </w:r>
      <w:r w:rsidRPr="00BE5331">
        <w:rPr>
          <w:b/>
        </w:rPr>
        <w:t>wo regions annually</w:t>
      </w:r>
    </w:p>
    <w:p w14:paraId="51AEDEF8" w14:textId="747169D9" w:rsidR="003F3414" w:rsidRDefault="003F3414" w:rsidP="003F3414">
      <w:pPr>
        <w:pStyle w:val="ListParagraph"/>
        <w:numPr>
          <w:ilvl w:val="0"/>
          <w:numId w:val="3"/>
        </w:numPr>
      </w:pPr>
      <w:r>
        <w:t>No more than 65 percent of Major Expansion funding in any one year shall be allocated to any one region</w:t>
      </w:r>
      <w:r w:rsidR="001257A6">
        <w:t>.</w:t>
      </w:r>
    </w:p>
    <w:p w14:paraId="3CACA7D6" w14:textId="3DF69A73" w:rsidR="003F3414" w:rsidRDefault="003F3414" w:rsidP="003F3414">
      <w:pPr>
        <w:pStyle w:val="ListParagraph"/>
        <w:numPr>
          <w:ilvl w:val="0"/>
          <w:numId w:val="3"/>
        </w:numPr>
      </w:pPr>
      <w:r>
        <w:t>No more than 95 percent of Major Expansion funding in any one year shall be allocated to any two regions combined</w:t>
      </w:r>
      <w:r w:rsidR="001257A6">
        <w:t>.</w:t>
      </w:r>
    </w:p>
    <w:p w14:paraId="46AF8B1E" w14:textId="5819AA9E" w:rsidR="003F3414" w:rsidRDefault="003F3414" w:rsidP="003F3414">
      <w:pPr>
        <w:pStyle w:val="ListParagraph"/>
        <w:numPr>
          <w:ilvl w:val="0"/>
          <w:numId w:val="3"/>
        </w:numPr>
      </w:pPr>
      <w:r>
        <w:t xml:space="preserve">Any Major Expansion funding available in a year in which conditions under 1 and 2 above cannot be met due to limited Major Expansion project applications, such funding shall automatically revert to support otherwise unfunded SGR/Minor Expansion projects.  </w:t>
      </w:r>
    </w:p>
    <w:p w14:paraId="5778D796" w14:textId="0F6D87BA" w:rsidR="003F3414" w:rsidRDefault="003F3414" w:rsidP="003F3414"/>
    <w:p w14:paraId="77FCAFBA" w14:textId="197B895D" w:rsidR="00F8333A" w:rsidRDefault="00F8333A" w:rsidP="003F3414"/>
    <w:p w14:paraId="33516471" w14:textId="54870A9B" w:rsidR="00F8333A" w:rsidRDefault="00F8333A" w:rsidP="003F3414"/>
    <w:p w14:paraId="5BAEC80E" w14:textId="77777777" w:rsidR="00F8333A" w:rsidRDefault="00F8333A" w:rsidP="003F3414"/>
    <w:p w14:paraId="51F37F97" w14:textId="04339BE8" w:rsidR="003F3414" w:rsidRPr="00BE5331" w:rsidRDefault="003F3414" w:rsidP="003F3414">
      <w:pPr>
        <w:rPr>
          <w:b/>
        </w:rPr>
      </w:pPr>
      <w:r>
        <w:rPr>
          <w:b/>
          <w:noProof/>
        </w:rPr>
        <mc:AlternateContent>
          <mc:Choice Requires="wps">
            <w:drawing>
              <wp:anchor distT="0" distB="0" distL="114300" distR="114300" simplePos="0" relativeHeight="251663360" behindDoc="0" locked="0" layoutInCell="1" allowOverlap="1" wp14:anchorId="68A2E336" wp14:editId="7E1E0730">
                <wp:simplePos x="0" y="0"/>
                <wp:positionH relativeFrom="column">
                  <wp:posOffset>-200025</wp:posOffset>
                </wp:positionH>
                <wp:positionV relativeFrom="paragraph">
                  <wp:posOffset>-161926</wp:posOffset>
                </wp:positionV>
                <wp:extent cx="6315075" cy="2200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315075" cy="2200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EC05E2" id="Rectangle 3" o:spid="_x0000_s1026" style="position:absolute;margin-left:-15.75pt;margin-top:-12.75pt;width:497.25pt;height:17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" filled="f" strokecolor="windowText" strokeweight="1pt"/>
            </w:pict>
          </mc:Fallback>
        </mc:AlternateContent>
      </w:r>
      <w:r w:rsidRPr="00BE5331">
        <w:rPr>
          <w:b/>
        </w:rPr>
        <w:t xml:space="preserve">Hold Harmless for </w:t>
      </w:r>
      <w:r>
        <w:rPr>
          <w:b/>
        </w:rPr>
        <w:t>s</w:t>
      </w:r>
      <w:r w:rsidRPr="00BE5331">
        <w:rPr>
          <w:b/>
        </w:rPr>
        <w:t xml:space="preserve">ervice modifications that remain within Existing Total System Service Hours/Miles/Fleet Size </w:t>
      </w:r>
    </w:p>
    <w:p w14:paraId="0572A57E" w14:textId="7F947144" w:rsidR="003F3414" w:rsidRDefault="003F3414" w:rsidP="003F3414">
      <w:r>
        <w:t xml:space="preserve">In some cases, Agencies may shift existing resources to bolster services on current routes </w:t>
      </w:r>
      <w:proofErr w:type="gramStart"/>
      <w:r>
        <w:t>in order to</w:t>
      </w:r>
      <w:proofErr w:type="gramEnd"/>
      <w:r>
        <w:t xml:space="preserve"> achieve greater service efficiency and effectiveness. Doing so may result in “significant” change as defined per FTA guidelines; in other words, as such projects are evaluated independently, a “significant” change can occur on a portion (single route or routes) of a bus network, even though there is </w:t>
      </w:r>
      <w:proofErr w:type="spellStart"/>
      <w:r>
        <w:t>not</w:t>
      </w:r>
      <w:proofErr w:type="spellEnd"/>
      <w:r>
        <w:t xml:space="preserve"> change in overall system hours/miles/fleet. Any changes to a system that remain within existing total system service hours/miles/fleet size should be treated under SGR/Minor Expansion rules even if changes may otherwise be considered “significant” per FTA and agency policies. </w:t>
      </w:r>
      <w:r w:rsidR="000C3B5A">
        <w:t>Similarly, transit facilities</w:t>
      </w:r>
      <w:r w:rsidR="002A1E6B">
        <w:t xml:space="preserve"> projects that support existing services should be classified as SGR/Minor Expansion.  </w:t>
      </w:r>
      <w:r w:rsidR="00927BBC">
        <w:t xml:space="preserve">    </w:t>
      </w:r>
    </w:p>
    <w:p w14:paraId="1A4379E3" w14:textId="77777777" w:rsidR="003F3414" w:rsidRDefault="003F3414" w:rsidP="003F3414">
      <w:pPr>
        <w:ind w:left="720"/>
      </w:pPr>
    </w:p>
    <w:p w14:paraId="0DAB90C8" w14:textId="4A5972B9" w:rsidR="003F3414" w:rsidRDefault="003F3414" w:rsidP="003F3414">
      <w:pPr>
        <w:rPr>
          <w:b/>
        </w:rPr>
      </w:pPr>
      <w:r>
        <w:rPr>
          <w:b/>
          <w:noProof/>
        </w:rPr>
        <mc:AlternateContent>
          <mc:Choice Requires="wps">
            <w:drawing>
              <wp:anchor distT="0" distB="0" distL="114300" distR="114300" simplePos="0" relativeHeight="251665408" behindDoc="0" locked="0" layoutInCell="1" allowOverlap="1" wp14:anchorId="6B39EC64" wp14:editId="50A48434">
                <wp:simplePos x="0" y="0"/>
                <wp:positionH relativeFrom="column">
                  <wp:posOffset>-200025</wp:posOffset>
                </wp:positionH>
                <wp:positionV relativeFrom="paragraph">
                  <wp:posOffset>121920</wp:posOffset>
                </wp:positionV>
                <wp:extent cx="6315075" cy="2771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315075" cy="2771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E44D4" id="Rectangle 4" o:spid="_x0000_s1026" style="position:absolute;margin-left:-15.75pt;margin-top:9.6pt;width:497.25pt;height:21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" filled="f" strokecolor="windowText" strokeweight="1pt"/>
            </w:pict>
          </mc:Fallback>
        </mc:AlternateContent>
      </w:r>
    </w:p>
    <w:p w14:paraId="29A7CC43" w14:textId="00870DA0" w:rsidR="003F3414" w:rsidRDefault="003F3414" w:rsidP="003F3414">
      <w:pPr>
        <w:rPr>
          <w:b/>
        </w:rPr>
      </w:pPr>
      <w:r w:rsidRPr="00CC267A">
        <w:rPr>
          <w:b/>
        </w:rPr>
        <w:t>Modify measures</w:t>
      </w:r>
      <w:r w:rsidRPr="00842A62">
        <w:rPr>
          <w:b/>
        </w:rPr>
        <w:t xml:space="preserve"> to clearly </w:t>
      </w:r>
      <w:r>
        <w:rPr>
          <w:b/>
        </w:rPr>
        <w:t xml:space="preserve">fit to </w:t>
      </w:r>
      <w:r w:rsidRPr="00842A62">
        <w:rPr>
          <w:b/>
        </w:rPr>
        <w:t xml:space="preserve">Public Transit and better support objective and quantifiable analysis for the six factors (congestion mitigation, economic development, accessibility, safety, environmental quality, and land use) as required by legislative directive. </w:t>
      </w:r>
    </w:p>
    <w:p w14:paraId="2553F52B" w14:textId="7A72C630" w:rsidR="003F3414" w:rsidRDefault="003F3414" w:rsidP="003F3414">
      <w:r>
        <w:t>It is imperative that m</w:t>
      </w:r>
      <w:r w:rsidRPr="003501D1">
        <w:t>easures</w:t>
      </w:r>
      <w:r>
        <w:t>:</w:t>
      </w:r>
    </w:p>
    <w:p w14:paraId="20F12965" w14:textId="58C47376" w:rsidR="003F3414" w:rsidRDefault="003F3414" w:rsidP="003F3414">
      <w:r>
        <w:t xml:space="preserve">a. functionally fit with the </w:t>
      </w:r>
      <w:r w:rsidRPr="003501D1">
        <w:t>Public Transportation</w:t>
      </w:r>
      <w:r>
        <w:t xml:space="preserve"> mode and </w:t>
      </w:r>
    </w:p>
    <w:p w14:paraId="5ECDD910" w14:textId="76E8028B" w:rsidR="003F3414" w:rsidRDefault="003F3414" w:rsidP="003F3414">
      <w:r>
        <w:t xml:space="preserve">b. </w:t>
      </w:r>
      <w:proofErr w:type="gramStart"/>
      <w:r>
        <w:t>have</w:t>
      </w:r>
      <w:proofErr w:type="gramEnd"/>
      <w:r>
        <w:t xml:space="preserve"> available, consistent, and reliable data to support effective program administration of a statewide program. </w:t>
      </w:r>
    </w:p>
    <w:p w14:paraId="1A0D1EB2" w14:textId="4A22510F" w:rsidR="003F3414" w:rsidRDefault="003F3414" w:rsidP="003F3414">
      <w:r>
        <w:t xml:space="preserve">SMART SCALE is a valid and readily available reference source; however, different measures for some factors are warranted for Public Transportation. While time is of the essence </w:t>
      </w:r>
      <w:proofErr w:type="gramStart"/>
      <w:r>
        <w:t>in order to</w:t>
      </w:r>
      <w:proofErr w:type="gramEnd"/>
      <w:r>
        <w:t xml:space="preserve"> meet legislative directives, it is imperative to not oversimplify current TSDAC deliberations. </w:t>
      </w:r>
      <w:r w:rsidRPr="00BE5331">
        <w:rPr>
          <w:b/>
        </w:rPr>
        <w:t>There should be marked differentiation between SMART SCALE and the statewide transit program</w:t>
      </w:r>
      <w:r>
        <w:rPr>
          <w:b/>
        </w:rPr>
        <w:t xml:space="preserve"> for Major Expansion.</w:t>
      </w:r>
      <w:r>
        <w:t xml:space="preserve"> </w:t>
      </w:r>
    </w:p>
    <w:p w14:paraId="1DD087CD" w14:textId="77777777" w:rsidR="00D05945" w:rsidRDefault="00D05945" w:rsidP="003F3414"/>
    <w:p w14:paraId="66927A94" w14:textId="4664A484" w:rsidR="00F8333A" w:rsidRPr="00F8333A" w:rsidRDefault="00F8333A" w:rsidP="003F3414">
      <w:r>
        <w:rPr>
          <w:b/>
        </w:rPr>
        <w:t xml:space="preserve">Metrics </w:t>
      </w:r>
      <w:r>
        <w:t xml:space="preserve">to be used when scoring Factors (Congestion Mitigation, etc.).  </w:t>
      </w:r>
    </w:p>
    <w:p w14:paraId="444ECF21" w14:textId="41185C34" w:rsidR="00F8333A" w:rsidRDefault="00D05945" w:rsidP="003F3414">
      <w:r>
        <w:t>Transit-Specific me</w:t>
      </w:r>
      <w:r w:rsidR="00F56C56">
        <w:t xml:space="preserve">trics </w:t>
      </w:r>
      <w:r>
        <w:t xml:space="preserve">to </w:t>
      </w:r>
      <w:r w:rsidRPr="00F8333A">
        <w:rPr>
          <w:b/>
        </w:rPr>
        <w:t>Congestion Mitigation</w:t>
      </w:r>
      <w:r>
        <w:t xml:space="preserve"> suggested below offer an approach that would </w:t>
      </w:r>
      <w:r w:rsidR="00F8333A">
        <w:t>meet several criteria</w:t>
      </w:r>
      <w:r w:rsidR="00F56C56">
        <w:t>/benefits</w:t>
      </w:r>
      <w:r w:rsidR="00F8333A">
        <w:t>:</w:t>
      </w:r>
    </w:p>
    <w:p w14:paraId="697F93C7" w14:textId="70D7B91F" w:rsidR="00F8333A" w:rsidRDefault="00F8333A" w:rsidP="00F8333A">
      <w:pPr>
        <w:pStyle w:val="ListParagraph"/>
        <w:numPr>
          <w:ilvl w:val="0"/>
          <w:numId w:val="4"/>
        </w:numPr>
      </w:pPr>
      <w:r>
        <w:t>C</w:t>
      </w:r>
      <w:r w:rsidR="00D05945">
        <w:t>onsistent and easily applied across regions</w:t>
      </w:r>
      <w:r>
        <w:t xml:space="preserve"> of the Commonwealth</w:t>
      </w:r>
    </w:p>
    <w:p w14:paraId="0BD29BAF" w14:textId="123BA570" w:rsidR="00F8333A" w:rsidRDefault="00F8333A" w:rsidP="00F8333A">
      <w:pPr>
        <w:pStyle w:val="ListParagraph"/>
        <w:numPr>
          <w:ilvl w:val="0"/>
          <w:numId w:val="4"/>
        </w:numPr>
      </w:pPr>
      <w:r>
        <w:t>Consistent applicab</w:t>
      </w:r>
      <w:r w:rsidR="00F56C56">
        <w:t xml:space="preserve">ility </w:t>
      </w:r>
      <w:r>
        <w:t>across Projects of different size</w:t>
      </w:r>
      <w:r w:rsidR="00F56C56">
        <w:t>s</w:t>
      </w:r>
    </w:p>
    <w:p w14:paraId="2F237315" w14:textId="076C8D4E" w:rsidR="00F8333A" w:rsidRDefault="00F8333A" w:rsidP="00F8333A">
      <w:pPr>
        <w:pStyle w:val="ListParagraph"/>
        <w:numPr>
          <w:ilvl w:val="0"/>
          <w:numId w:val="4"/>
        </w:numPr>
      </w:pPr>
      <w:r>
        <w:t xml:space="preserve">Consistent </w:t>
      </w:r>
      <w:r w:rsidR="00F56C56">
        <w:t xml:space="preserve">applicability </w:t>
      </w:r>
      <w:r>
        <w:t>across Agencies of different size</w:t>
      </w:r>
      <w:r w:rsidR="00F56C56">
        <w:t>s</w:t>
      </w:r>
    </w:p>
    <w:p w14:paraId="4D560158" w14:textId="77777777" w:rsidR="00F8333A" w:rsidRDefault="00F8333A" w:rsidP="00F8333A">
      <w:pPr>
        <w:pStyle w:val="ListParagraph"/>
        <w:numPr>
          <w:ilvl w:val="0"/>
          <w:numId w:val="4"/>
        </w:numPr>
      </w:pPr>
      <w:r>
        <w:t>Availability of Data</w:t>
      </w:r>
    </w:p>
    <w:p w14:paraId="6A17D1A4" w14:textId="77777777" w:rsidR="00F8333A" w:rsidRDefault="00F8333A" w:rsidP="00F8333A">
      <w:pPr>
        <w:pStyle w:val="ListParagraph"/>
        <w:numPr>
          <w:ilvl w:val="0"/>
          <w:numId w:val="4"/>
        </w:numPr>
      </w:pPr>
      <w:r>
        <w:t>Consistency of Data</w:t>
      </w:r>
    </w:p>
    <w:p w14:paraId="48A7A989" w14:textId="5F929F12" w:rsidR="00F8333A" w:rsidRDefault="00F8333A" w:rsidP="00F8333A">
      <w:pPr>
        <w:pStyle w:val="ListParagraph"/>
        <w:numPr>
          <w:ilvl w:val="0"/>
          <w:numId w:val="4"/>
        </w:numPr>
      </w:pPr>
      <w:r>
        <w:t xml:space="preserve">Overall Ease of Computation and Usefulness </w:t>
      </w:r>
    </w:p>
    <w:p w14:paraId="6CBF2796" w14:textId="175492CF" w:rsidR="00F8333A" w:rsidRDefault="00F8333A" w:rsidP="00F8333A">
      <w:pPr>
        <w:pStyle w:val="ListParagraph"/>
        <w:numPr>
          <w:ilvl w:val="0"/>
          <w:numId w:val="4"/>
        </w:numPr>
      </w:pPr>
      <w:r>
        <w:t>Functional Fit (i.e., specific to transit)</w:t>
      </w:r>
    </w:p>
    <w:p w14:paraId="2290C12E" w14:textId="0681EBA2" w:rsidR="00F8333A" w:rsidRDefault="00F8333A" w:rsidP="00F8333A">
      <w:pPr>
        <w:pStyle w:val="ListParagraph"/>
        <w:numPr>
          <w:ilvl w:val="0"/>
          <w:numId w:val="4"/>
        </w:numPr>
      </w:pPr>
      <w:r>
        <w:t>Operational Fit (i.e., metric strongly associated to desired measure/outcome)</w:t>
      </w:r>
    </w:p>
    <w:p w14:paraId="58BE2496" w14:textId="57C4F0E9" w:rsidR="00C24707" w:rsidRDefault="00F8333A" w:rsidP="003F3414">
      <w:pPr>
        <w:pStyle w:val="ListParagraph"/>
        <w:numPr>
          <w:ilvl w:val="0"/>
          <w:numId w:val="4"/>
        </w:numPr>
        <w:sectPr w:rsidR="00C24707">
          <w:headerReference w:type="default" r:id="rId8"/>
          <w:footerReference w:type="default" r:id="rId9"/>
          <w:pgSz w:w="12240" w:h="15840"/>
          <w:pgMar w:top="1440" w:right="1440" w:bottom="1440" w:left="1440" w:header="720" w:footer="720" w:gutter="0"/>
          <w:cols w:space="720"/>
          <w:docGrid w:linePitch="360"/>
        </w:sectPr>
      </w:pPr>
      <w:r>
        <w:t>Grounded in</w:t>
      </w:r>
      <w:r w:rsidR="00F56C56">
        <w:t xml:space="preserve"> approaches All transit agencies are familiar with </w:t>
      </w:r>
      <w:r w:rsidR="003F3414">
        <w:t xml:space="preserve"> </w:t>
      </w:r>
    </w:p>
    <w:p w14:paraId="30E2177C" w14:textId="0C955A84" w:rsidR="003F3414" w:rsidRDefault="003F3414" w:rsidP="003F3414"/>
    <w:tbl>
      <w:tblPr>
        <w:tblStyle w:val="TableGrid"/>
        <w:tblW w:w="5000" w:type="pct"/>
        <w:tblLook w:val="04A0" w:firstRow="1" w:lastRow="0" w:firstColumn="1" w:lastColumn="0" w:noHBand="0" w:noVBand="1"/>
      </w:tblPr>
      <w:tblGrid>
        <w:gridCol w:w="1958"/>
        <w:gridCol w:w="1642"/>
        <w:gridCol w:w="1958"/>
        <w:gridCol w:w="1707"/>
        <w:gridCol w:w="1839"/>
        <w:gridCol w:w="1888"/>
        <w:gridCol w:w="1958"/>
      </w:tblGrid>
      <w:tr w:rsidR="003F3414" w:rsidRPr="004A27C6" w14:paraId="19A84A9E" w14:textId="77777777" w:rsidTr="00BE5331">
        <w:tc>
          <w:tcPr>
            <w:tcW w:w="756" w:type="pct"/>
          </w:tcPr>
          <w:p w14:paraId="6316EBE0" w14:textId="77777777" w:rsidR="003F3414" w:rsidRPr="006847F5" w:rsidRDefault="003F3414" w:rsidP="00BE5331">
            <w:pPr>
              <w:rPr>
                <w:b/>
                <w:sz w:val="20"/>
                <w:szCs w:val="20"/>
              </w:rPr>
            </w:pPr>
            <w:r w:rsidRPr="006847F5">
              <w:rPr>
                <w:b/>
                <w:sz w:val="20"/>
                <w:szCs w:val="20"/>
              </w:rPr>
              <w:t>Measure Name</w:t>
            </w:r>
          </w:p>
          <w:p w14:paraId="0163D23C" w14:textId="77777777" w:rsidR="003F3414" w:rsidRPr="006847F5" w:rsidRDefault="003F3414" w:rsidP="00BE5331">
            <w:pPr>
              <w:rPr>
                <w:b/>
                <w:sz w:val="20"/>
                <w:szCs w:val="20"/>
              </w:rPr>
            </w:pPr>
            <w:r w:rsidRPr="006847F5">
              <w:rPr>
                <w:b/>
                <w:color w:val="FF0000"/>
                <w:sz w:val="20"/>
                <w:szCs w:val="20"/>
              </w:rPr>
              <w:t>(same as SMARTSCALE)</w:t>
            </w:r>
          </w:p>
        </w:tc>
        <w:tc>
          <w:tcPr>
            <w:tcW w:w="634" w:type="pct"/>
          </w:tcPr>
          <w:p w14:paraId="6D8503D0" w14:textId="77777777" w:rsidR="003F3414" w:rsidRPr="006847F5" w:rsidRDefault="003F3414" w:rsidP="00BE5331">
            <w:pPr>
              <w:rPr>
                <w:b/>
                <w:sz w:val="20"/>
                <w:szCs w:val="20"/>
              </w:rPr>
            </w:pPr>
            <w:r w:rsidRPr="006847F5">
              <w:rPr>
                <w:b/>
                <w:sz w:val="20"/>
                <w:szCs w:val="20"/>
              </w:rPr>
              <w:t>Measure Description</w:t>
            </w:r>
          </w:p>
          <w:p w14:paraId="22F02F5D" w14:textId="77777777" w:rsidR="003F3414" w:rsidRPr="006847F5" w:rsidRDefault="003F3414" w:rsidP="00BE5331">
            <w:pPr>
              <w:rPr>
                <w:b/>
                <w:sz w:val="20"/>
                <w:szCs w:val="20"/>
              </w:rPr>
            </w:pPr>
            <w:r w:rsidRPr="006847F5">
              <w:rPr>
                <w:b/>
                <w:color w:val="00B050"/>
                <w:sz w:val="20"/>
                <w:szCs w:val="20"/>
              </w:rPr>
              <w:t>(Transit Specific)</w:t>
            </w:r>
          </w:p>
        </w:tc>
        <w:tc>
          <w:tcPr>
            <w:tcW w:w="756" w:type="pct"/>
          </w:tcPr>
          <w:p w14:paraId="7355B7E8" w14:textId="77777777" w:rsidR="003F3414" w:rsidRPr="006847F5" w:rsidRDefault="003F3414" w:rsidP="00BE5331">
            <w:pPr>
              <w:rPr>
                <w:b/>
                <w:sz w:val="20"/>
                <w:szCs w:val="20"/>
              </w:rPr>
            </w:pPr>
            <w:r w:rsidRPr="006847F5">
              <w:rPr>
                <w:b/>
                <w:sz w:val="20"/>
                <w:szCs w:val="20"/>
              </w:rPr>
              <w:t xml:space="preserve">Measure Objective </w:t>
            </w:r>
            <w:r w:rsidRPr="006847F5">
              <w:rPr>
                <w:b/>
                <w:color w:val="FF0000"/>
                <w:sz w:val="20"/>
                <w:szCs w:val="20"/>
              </w:rPr>
              <w:t>(same as SMARTSCALE)</w:t>
            </w:r>
          </w:p>
        </w:tc>
        <w:tc>
          <w:tcPr>
            <w:tcW w:w="659" w:type="pct"/>
          </w:tcPr>
          <w:p w14:paraId="3A7D372B" w14:textId="77777777" w:rsidR="003F3414" w:rsidRDefault="003F3414" w:rsidP="00BE5331">
            <w:pPr>
              <w:rPr>
                <w:b/>
                <w:sz w:val="20"/>
                <w:szCs w:val="20"/>
              </w:rPr>
            </w:pPr>
            <w:r w:rsidRPr="006847F5">
              <w:rPr>
                <w:b/>
                <w:sz w:val="20"/>
                <w:szCs w:val="20"/>
              </w:rPr>
              <w:t>Data</w:t>
            </w:r>
          </w:p>
          <w:p w14:paraId="70BA3812" w14:textId="77777777" w:rsidR="003F3414" w:rsidRPr="006847F5" w:rsidRDefault="003F3414" w:rsidP="00BE5331">
            <w:pPr>
              <w:rPr>
                <w:b/>
                <w:sz w:val="20"/>
                <w:szCs w:val="20"/>
              </w:rPr>
            </w:pPr>
          </w:p>
        </w:tc>
        <w:tc>
          <w:tcPr>
            <w:tcW w:w="710" w:type="pct"/>
          </w:tcPr>
          <w:p w14:paraId="3306075F" w14:textId="77777777" w:rsidR="003F3414" w:rsidRPr="006847F5" w:rsidRDefault="003F3414" w:rsidP="00BE5331">
            <w:pPr>
              <w:rPr>
                <w:b/>
                <w:sz w:val="20"/>
                <w:szCs w:val="20"/>
              </w:rPr>
            </w:pPr>
            <w:r w:rsidRPr="006847F5">
              <w:rPr>
                <w:b/>
                <w:sz w:val="20"/>
                <w:szCs w:val="20"/>
              </w:rPr>
              <w:t>Definition</w:t>
            </w:r>
          </w:p>
        </w:tc>
        <w:tc>
          <w:tcPr>
            <w:tcW w:w="729" w:type="pct"/>
          </w:tcPr>
          <w:p w14:paraId="095592AB" w14:textId="77777777" w:rsidR="003F3414" w:rsidRPr="006847F5" w:rsidRDefault="003F3414" w:rsidP="00BE5331">
            <w:pPr>
              <w:rPr>
                <w:b/>
                <w:sz w:val="20"/>
                <w:szCs w:val="20"/>
              </w:rPr>
            </w:pPr>
            <w:r w:rsidRPr="006847F5">
              <w:rPr>
                <w:b/>
                <w:sz w:val="20"/>
                <w:szCs w:val="20"/>
              </w:rPr>
              <w:t>Methodology</w:t>
            </w:r>
          </w:p>
        </w:tc>
        <w:tc>
          <w:tcPr>
            <w:tcW w:w="756" w:type="pct"/>
          </w:tcPr>
          <w:p w14:paraId="32E864B7" w14:textId="77777777" w:rsidR="003F3414" w:rsidRPr="006847F5" w:rsidRDefault="003F3414" w:rsidP="00BE5331">
            <w:pPr>
              <w:rPr>
                <w:b/>
                <w:sz w:val="20"/>
                <w:szCs w:val="20"/>
              </w:rPr>
            </w:pPr>
            <w:r w:rsidRPr="006847F5">
              <w:rPr>
                <w:b/>
                <w:sz w:val="20"/>
                <w:szCs w:val="20"/>
              </w:rPr>
              <w:t>Weighting</w:t>
            </w:r>
          </w:p>
          <w:p w14:paraId="186C9BF8" w14:textId="77777777" w:rsidR="003F3414" w:rsidRPr="006847F5" w:rsidRDefault="003F3414" w:rsidP="00BE5331">
            <w:pPr>
              <w:rPr>
                <w:b/>
                <w:sz w:val="20"/>
                <w:szCs w:val="20"/>
              </w:rPr>
            </w:pPr>
            <w:r w:rsidRPr="0005635E">
              <w:rPr>
                <w:b/>
                <w:color w:val="FF0000"/>
                <w:sz w:val="20"/>
                <w:szCs w:val="20"/>
              </w:rPr>
              <w:t>(same as SMARTSCALE)</w:t>
            </w:r>
          </w:p>
        </w:tc>
      </w:tr>
      <w:tr w:rsidR="003F3414" w:rsidRPr="004A27C6" w14:paraId="407B99C7" w14:textId="77777777" w:rsidTr="00BE5331">
        <w:tc>
          <w:tcPr>
            <w:tcW w:w="756" w:type="pct"/>
          </w:tcPr>
          <w:p w14:paraId="68435AD9" w14:textId="77777777" w:rsidR="003F3414" w:rsidRPr="004A27C6" w:rsidRDefault="003F3414" w:rsidP="00BE5331">
            <w:pPr>
              <w:rPr>
                <w:sz w:val="20"/>
                <w:szCs w:val="20"/>
              </w:rPr>
            </w:pPr>
            <w:r>
              <w:rPr>
                <w:sz w:val="20"/>
                <w:szCs w:val="20"/>
              </w:rPr>
              <w:t xml:space="preserve">C.1 </w:t>
            </w:r>
            <w:r w:rsidRPr="004A27C6">
              <w:rPr>
                <w:sz w:val="20"/>
                <w:szCs w:val="20"/>
              </w:rPr>
              <w:t>Person Throughput</w:t>
            </w:r>
          </w:p>
        </w:tc>
        <w:tc>
          <w:tcPr>
            <w:tcW w:w="634" w:type="pct"/>
          </w:tcPr>
          <w:p w14:paraId="7B0133A9" w14:textId="0092B1EA" w:rsidR="003F3414" w:rsidRPr="004A27C6" w:rsidRDefault="003F3414" w:rsidP="00BE5331">
            <w:pPr>
              <w:rPr>
                <w:sz w:val="20"/>
                <w:szCs w:val="20"/>
              </w:rPr>
            </w:pPr>
            <w:r w:rsidRPr="004A27C6">
              <w:rPr>
                <w:sz w:val="20"/>
                <w:szCs w:val="20"/>
              </w:rPr>
              <w:t xml:space="preserve">Increased </w:t>
            </w:r>
            <w:r w:rsidR="00927BBC">
              <w:rPr>
                <w:sz w:val="20"/>
                <w:szCs w:val="20"/>
              </w:rPr>
              <w:t xml:space="preserve">available </w:t>
            </w:r>
            <w:r w:rsidRPr="004A27C6">
              <w:rPr>
                <w:sz w:val="20"/>
                <w:szCs w:val="20"/>
              </w:rPr>
              <w:t xml:space="preserve">capacity to transit network mitigating the use of single-occupant vehicles  </w:t>
            </w:r>
          </w:p>
        </w:tc>
        <w:tc>
          <w:tcPr>
            <w:tcW w:w="756" w:type="pct"/>
          </w:tcPr>
          <w:p w14:paraId="7827CBC2" w14:textId="77777777" w:rsidR="003F3414" w:rsidRPr="004A27C6" w:rsidRDefault="003F3414" w:rsidP="00BE5331">
            <w:pPr>
              <w:rPr>
                <w:sz w:val="20"/>
                <w:szCs w:val="20"/>
              </w:rPr>
            </w:pPr>
            <w:r w:rsidRPr="004A27C6">
              <w:rPr>
                <w:sz w:val="20"/>
                <w:szCs w:val="20"/>
              </w:rPr>
              <w:t>Assess the potential benefit of the project in increasing the number of users served in peak period</w:t>
            </w:r>
          </w:p>
        </w:tc>
        <w:tc>
          <w:tcPr>
            <w:tcW w:w="659" w:type="pct"/>
          </w:tcPr>
          <w:p w14:paraId="29C0CAF0" w14:textId="613D95CA" w:rsidR="003F3414" w:rsidRPr="00F56C56" w:rsidRDefault="003F3414" w:rsidP="00BE5331">
            <w:pPr>
              <w:rPr>
                <w:b/>
                <w:sz w:val="20"/>
                <w:szCs w:val="20"/>
              </w:rPr>
            </w:pPr>
            <w:r w:rsidRPr="004A27C6">
              <w:rPr>
                <w:sz w:val="20"/>
                <w:szCs w:val="20"/>
              </w:rPr>
              <w:t>System efficiency metrics (</w:t>
            </w:r>
            <w:r w:rsidRPr="00F56C56">
              <w:rPr>
                <w:b/>
                <w:sz w:val="20"/>
                <w:szCs w:val="20"/>
              </w:rPr>
              <w:t>Passengers Per Revenue Hour;</w:t>
            </w:r>
          </w:p>
          <w:p w14:paraId="64361D98" w14:textId="4E3D5D65" w:rsidR="003F3414" w:rsidRPr="004A27C6" w:rsidRDefault="003F3414" w:rsidP="00BE5331">
            <w:pPr>
              <w:rPr>
                <w:sz w:val="20"/>
                <w:szCs w:val="20"/>
              </w:rPr>
            </w:pPr>
            <w:r w:rsidRPr="00F56C56">
              <w:rPr>
                <w:b/>
                <w:sz w:val="20"/>
                <w:szCs w:val="20"/>
              </w:rPr>
              <w:t>Passengers Per Revenue Mile</w:t>
            </w:r>
            <w:r w:rsidRPr="004A27C6">
              <w:rPr>
                <w:sz w:val="20"/>
                <w:szCs w:val="20"/>
              </w:rPr>
              <w:t>)</w:t>
            </w:r>
            <w:r w:rsidR="00F56C56">
              <w:rPr>
                <w:sz w:val="20"/>
                <w:szCs w:val="20"/>
              </w:rPr>
              <w:t xml:space="preserve"> (3-year rolling average)</w:t>
            </w:r>
          </w:p>
          <w:p w14:paraId="0B1A4A35" w14:textId="77777777" w:rsidR="003F3414" w:rsidRDefault="003F3414" w:rsidP="00BE5331">
            <w:pPr>
              <w:rPr>
                <w:sz w:val="20"/>
                <w:szCs w:val="20"/>
              </w:rPr>
            </w:pPr>
          </w:p>
          <w:p w14:paraId="0A9D7BA5" w14:textId="3D7901B9" w:rsidR="003F3414" w:rsidRPr="004A27C6" w:rsidRDefault="003F3414" w:rsidP="00BE5331">
            <w:pPr>
              <w:rPr>
                <w:sz w:val="20"/>
                <w:szCs w:val="20"/>
              </w:rPr>
            </w:pPr>
            <w:r w:rsidRPr="004A27C6">
              <w:rPr>
                <w:sz w:val="20"/>
                <w:szCs w:val="20"/>
              </w:rPr>
              <w:t>Increased ridership capacity of the project</w:t>
            </w:r>
            <w:r>
              <w:rPr>
                <w:sz w:val="20"/>
                <w:szCs w:val="20"/>
              </w:rPr>
              <w:t xml:space="preserve"> </w:t>
            </w:r>
            <w:r w:rsidRPr="00EC49B2">
              <w:rPr>
                <w:b/>
                <w:sz w:val="20"/>
                <w:szCs w:val="20"/>
              </w:rPr>
              <w:t>(</w:t>
            </w:r>
            <w:r w:rsidR="00EC49B2">
              <w:rPr>
                <w:b/>
                <w:sz w:val="20"/>
                <w:szCs w:val="20"/>
              </w:rPr>
              <w:t xml:space="preserve">revenue </w:t>
            </w:r>
            <w:r w:rsidR="00EC49B2" w:rsidRPr="00EC49B2">
              <w:rPr>
                <w:b/>
                <w:sz w:val="20"/>
                <w:szCs w:val="20"/>
              </w:rPr>
              <w:t xml:space="preserve">seat hours / </w:t>
            </w:r>
            <w:r w:rsidR="00EC49B2">
              <w:rPr>
                <w:b/>
                <w:sz w:val="20"/>
                <w:szCs w:val="20"/>
              </w:rPr>
              <w:t xml:space="preserve">revenue </w:t>
            </w:r>
            <w:r w:rsidRPr="00EC49B2">
              <w:rPr>
                <w:b/>
                <w:sz w:val="20"/>
                <w:szCs w:val="20"/>
              </w:rPr>
              <w:t>seat miles).</w:t>
            </w:r>
            <w:r w:rsidRPr="004A27C6">
              <w:rPr>
                <w:sz w:val="20"/>
                <w:szCs w:val="20"/>
              </w:rPr>
              <w:t xml:space="preserve">  </w:t>
            </w:r>
          </w:p>
          <w:p w14:paraId="569D18BF" w14:textId="77777777" w:rsidR="003F3414" w:rsidRPr="004A27C6" w:rsidRDefault="003F3414" w:rsidP="00BE5331">
            <w:pPr>
              <w:rPr>
                <w:sz w:val="20"/>
                <w:szCs w:val="20"/>
              </w:rPr>
            </w:pPr>
            <w:r w:rsidRPr="004A27C6">
              <w:rPr>
                <w:sz w:val="20"/>
                <w:szCs w:val="20"/>
              </w:rPr>
              <w:t xml:space="preserve"> </w:t>
            </w:r>
          </w:p>
        </w:tc>
        <w:tc>
          <w:tcPr>
            <w:tcW w:w="710" w:type="pct"/>
          </w:tcPr>
          <w:p w14:paraId="63CB2CE1" w14:textId="0B8EC3AE" w:rsidR="003F3414" w:rsidRPr="004A27C6" w:rsidRDefault="003F3414" w:rsidP="00BE5331">
            <w:pPr>
              <w:rPr>
                <w:sz w:val="20"/>
                <w:szCs w:val="20"/>
              </w:rPr>
            </w:pPr>
            <w:r w:rsidRPr="004A27C6">
              <w:rPr>
                <w:sz w:val="20"/>
                <w:szCs w:val="20"/>
              </w:rPr>
              <w:t>Change in transit system</w:t>
            </w:r>
            <w:r>
              <w:rPr>
                <w:sz w:val="20"/>
                <w:szCs w:val="20"/>
              </w:rPr>
              <w:t xml:space="preserve"> ridership</w:t>
            </w:r>
            <w:r w:rsidRPr="004A27C6">
              <w:rPr>
                <w:sz w:val="20"/>
                <w:szCs w:val="20"/>
              </w:rPr>
              <w:t xml:space="preserve"> capacity attributed to the project</w:t>
            </w:r>
          </w:p>
        </w:tc>
        <w:tc>
          <w:tcPr>
            <w:tcW w:w="729" w:type="pct"/>
          </w:tcPr>
          <w:p w14:paraId="0485973F" w14:textId="7781F03D" w:rsidR="003F3414" w:rsidRPr="004A27C6" w:rsidRDefault="003F3414" w:rsidP="00BE5331">
            <w:pPr>
              <w:rPr>
                <w:sz w:val="20"/>
                <w:szCs w:val="20"/>
              </w:rPr>
            </w:pPr>
            <w:r>
              <w:rPr>
                <w:sz w:val="20"/>
                <w:szCs w:val="20"/>
              </w:rPr>
              <w:t xml:space="preserve">A. Determine </w:t>
            </w:r>
            <w:r w:rsidRPr="004A27C6">
              <w:rPr>
                <w:sz w:val="20"/>
                <w:szCs w:val="20"/>
              </w:rPr>
              <w:t>the increased</w:t>
            </w:r>
            <w:r>
              <w:rPr>
                <w:sz w:val="20"/>
                <w:szCs w:val="20"/>
              </w:rPr>
              <w:t xml:space="preserve"> (new)</w:t>
            </w:r>
            <w:r w:rsidRPr="004A27C6">
              <w:rPr>
                <w:sz w:val="20"/>
                <w:szCs w:val="20"/>
              </w:rPr>
              <w:t xml:space="preserve"> ridership capacity of the project </w:t>
            </w:r>
            <w:r w:rsidRPr="00EC49B2">
              <w:rPr>
                <w:b/>
                <w:sz w:val="20"/>
                <w:szCs w:val="20"/>
              </w:rPr>
              <w:t>(</w:t>
            </w:r>
            <w:r w:rsidR="00EC49B2" w:rsidRPr="00EC49B2">
              <w:rPr>
                <w:b/>
                <w:sz w:val="20"/>
                <w:szCs w:val="20"/>
              </w:rPr>
              <w:t xml:space="preserve">revenue seat hours / revenue </w:t>
            </w:r>
            <w:r w:rsidRPr="00EC49B2">
              <w:rPr>
                <w:b/>
                <w:sz w:val="20"/>
                <w:szCs w:val="20"/>
              </w:rPr>
              <w:t>seat miles</w:t>
            </w:r>
            <w:r w:rsidRPr="004A27C6">
              <w:rPr>
                <w:sz w:val="20"/>
                <w:szCs w:val="20"/>
              </w:rPr>
              <w:t>);</w:t>
            </w:r>
            <w:r>
              <w:rPr>
                <w:sz w:val="20"/>
                <w:szCs w:val="20"/>
              </w:rPr>
              <w:t xml:space="preserve"> </w:t>
            </w:r>
          </w:p>
          <w:p w14:paraId="140807C2" w14:textId="77777777" w:rsidR="003F3414" w:rsidRDefault="003F3414" w:rsidP="00BE5331">
            <w:pPr>
              <w:rPr>
                <w:sz w:val="20"/>
                <w:szCs w:val="20"/>
              </w:rPr>
            </w:pPr>
          </w:p>
          <w:p w14:paraId="131E55FA" w14:textId="77777777" w:rsidR="003F3414" w:rsidRDefault="003F3414" w:rsidP="00BE5331">
            <w:pPr>
              <w:rPr>
                <w:sz w:val="20"/>
                <w:szCs w:val="20"/>
              </w:rPr>
            </w:pPr>
            <w:r>
              <w:rPr>
                <w:sz w:val="20"/>
                <w:szCs w:val="20"/>
              </w:rPr>
              <w:t>B1. Non-fixed Guideway Projects:</w:t>
            </w:r>
          </w:p>
          <w:p w14:paraId="0DD509A7" w14:textId="6E59F166" w:rsidR="003F3414" w:rsidRDefault="003F3414" w:rsidP="00BE5331">
            <w:pPr>
              <w:rPr>
                <w:sz w:val="20"/>
                <w:szCs w:val="20"/>
              </w:rPr>
            </w:pPr>
            <w:r w:rsidRPr="00F56C56">
              <w:rPr>
                <w:b/>
                <w:sz w:val="20"/>
                <w:szCs w:val="20"/>
              </w:rPr>
              <w:t>Compute the</w:t>
            </w:r>
            <w:r w:rsidRPr="004A27C6">
              <w:rPr>
                <w:sz w:val="20"/>
                <w:szCs w:val="20"/>
              </w:rPr>
              <w:t xml:space="preserve"> </w:t>
            </w:r>
            <w:r w:rsidRPr="00F56C56">
              <w:rPr>
                <w:b/>
                <w:sz w:val="20"/>
                <w:szCs w:val="20"/>
              </w:rPr>
              <w:t>Person Throughout (ridership) credit</w:t>
            </w:r>
            <w:r w:rsidRPr="004A27C6">
              <w:rPr>
                <w:sz w:val="20"/>
                <w:szCs w:val="20"/>
              </w:rPr>
              <w:t xml:space="preserve"> (</w:t>
            </w:r>
            <w:r w:rsidR="00F56C56">
              <w:rPr>
                <w:sz w:val="20"/>
                <w:szCs w:val="20"/>
              </w:rPr>
              <w:t xml:space="preserve">this will be </w:t>
            </w:r>
            <w:r w:rsidRPr="004A27C6">
              <w:rPr>
                <w:sz w:val="20"/>
                <w:szCs w:val="20"/>
              </w:rPr>
              <w:t xml:space="preserve">a fraction of total </w:t>
            </w:r>
            <w:r>
              <w:rPr>
                <w:sz w:val="20"/>
                <w:szCs w:val="20"/>
              </w:rPr>
              <w:t xml:space="preserve">new ridership </w:t>
            </w:r>
            <w:r w:rsidRPr="004A27C6">
              <w:rPr>
                <w:sz w:val="20"/>
                <w:szCs w:val="20"/>
              </w:rPr>
              <w:t xml:space="preserve">capacity) </w:t>
            </w:r>
            <w:r w:rsidRPr="00F56C56">
              <w:rPr>
                <w:b/>
                <w:sz w:val="20"/>
                <w:szCs w:val="20"/>
              </w:rPr>
              <w:t>based on current system performance using System Efficiency metrics</w:t>
            </w:r>
            <w:r>
              <w:rPr>
                <w:sz w:val="20"/>
                <w:szCs w:val="20"/>
              </w:rPr>
              <w:t>;</w:t>
            </w:r>
          </w:p>
          <w:p w14:paraId="40DFF720" w14:textId="77777777" w:rsidR="003F3414" w:rsidRDefault="003F3414" w:rsidP="00BE5331">
            <w:pPr>
              <w:rPr>
                <w:sz w:val="20"/>
                <w:szCs w:val="20"/>
              </w:rPr>
            </w:pPr>
          </w:p>
          <w:p w14:paraId="49E87C75" w14:textId="0C50115D" w:rsidR="003F3414" w:rsidRDefault="003F3414" w:rsidP="00BE5331">
            <w:pPr>
              <w:rPr>
                <w:sz w:val="20"/>
                <w:szCs w:val="20"/>
              </w:rPr>
            </w:pPr>
            <w:r>
              <w:rPr>
                <w:sz w:val="20"/>
                <w:szCs w:val="20"/>
              </w:rPr>
              <w:t xml:space="preserve">B2. </w:t>
            </w:r>
            <w:r w:rsidRPr="004A27C6">
              <w:rPr>
                <w:sz w:val="20"/>
                <w:szCs w:val="20"/>
              </w:rPr>
              <w:t>Fixed-guideway Projects</w:t>
            </w:r>
            <w:r>
              <w:rPr>
                <w:sz w:val="20"/>
                <w:szCs w:val="20"/>
              </w:rPr>
              <w:t xml:space="preserve">: documented ridership forecasts that follow FTA guidelines will be used </w:t>
            </w:r>
            <w:r w:rsidR="00AD65E2">
              <w:rPr>
                <w:sz w:val="20"/>
                <w:szCs w:val="20"/>
              </w:rPr>
              <w:t>(STOPS model)</w:t>
            </w:r>
          </w:p>
          <w:p w14:paraId="3CDB97A1" w14:textId="4F54C538" w:rsidR="00C24707" w:rsidRDefault="00C24707" w:rsidP="00BE5331">
            <w:pPr>
              <w:rPr>
                <w:sz w:val="20"/>
                <w:szCs w:val="20"/>
              </w:rPr>
            </w:pPr>
          </w:p>
          <w:p w14:paraId="021EC4FF" w14:textId="71782155" w:rsidR="00C24707" w:rsidRDefault="00C24707" w:rsidP="00BE5331">
            <w:pPr>
              <w:rPr>
                <w:sz w:val="20"/>
                <w:szCs w:val="20"/>
              </w:rPr>
            </w:pPr>
          </w:p>
          <w:p w14:paraId="28A3AAA6" w14:textId="77777777" w:rsidR="00C24707" w:rsidRDefault="00C24707" w:rsidP="00BE5331">
            <w:pPr>
              <w:rPr>
                <w:sz w:val="20"/>
                <w:szCs w:val="20"/>
              </w:rPr>
            </w:pPr>
          </w:p>
          <w:p w14:paraId="6B186DF3" w14:textId="06A6D93C" w:rsidR="00E64923" w:rsidRPr="004A27C6" w:rsidRDefault="00E64923" w:rsidP="00BE5331">
            <w:pPr>
              <w:rPr>
                <w:sz w:val="20"/>
                <w:szCs w:val="20"/>
              </w:rPr>
            </w:pPr>
          </w:p>
        </w:tc>
        <w:tc>
          <w:tcPr>
            <w:tcW w:w="756" w:type="pct"/>
          </w:tcPr>
          <w:p w14:paraId="233EEFA0" w14:textId="77777777" w:rsidR="003F3414" w:rsidRPr="004A27C6" w:rsidRDefault="003F3414" w:rsidP="00BE5331">
            <w:pPr>
              <w:rPr>
                <w:sz w:val="20"/>
                <w:szCs w:val="20"/>
              </w:rPr>
            </w:pPr>
            <w:r w:rsidRPr="004A27C6">
              <w:rPr>
                <w:sz w:val="20"/>
                <w:szCs w:val="20"/>
              </w:rPr>
              <w:t>50%</w:t>
            </w:r>
          </w:p>
        </w:tc>
      </w:tr>
      <w:tr w:rsidR="003F3414" w:rsidRPr="004A27C6" w14:paraId="615A5937" w14:textId="77777777" w:rsidTr="00BE5331">
        <w:tc>
          <w:tcPr>
            <w:tcW w:w="756" w:type="pct"/>
          </w:tcPr>
          <w:p w14:paraId="60C73A29" w14:textId="77777777" w:rsidR="003F3414" w:rsidRPr="006847F5" w:rsidRDefault="003F3414" w:rsidP="00BE5331">
            <w:pPr>
              <w:rPr>
                <w:b/>
                <w:sz w:val="20"/>
                <w:szCs w:val="20"/>
              </w:rPr>
            </w:pPr>
            <w:bookmarkStart w:id="0" w:name="_Hlk517075567"/>
            <w:r w:rsidRPr="006847F5">
              <w:rPr>
                <w:b/>
                <w:sz w:val="20"/>
                <w:szCs w:val="20"/>
              </w:rPr>
              <w:lastRenderedPageBreak/>
              <w:t>Measure Name</w:t>
            </w:r>
          </w:p>
          <w:p w14:paraId="560F330D" w14:textId="77777777" w:rsidR="003F3414" w:rsidRDefault="003F3414" w:rsidP="00BE5331">
            <w:pPr>
              <w:rPr>
                <w:sz w:val="20"/>
                <w:szCs w:val="20"/>
              </w:rPr>
            </w:pPr>
            <w:r w:rsidRPr="006847F5">
              <w:rPr>
                <w:b/>
                <w:color w:val="FF0000"/>
                <w:sz w:val="20"/>
                <w:szCs w:val="20"/>
              </w:rPr>
              <w:t>(same as SMARTSCALE)</w:t>
            </w:r>
          </w:p>
        </w:tc>
        <w:tc>
          <w:tcPr>
            <w:tcW w:w="634" w:type="pct"/>
          </w:tcPr>
          <w:p w14:paraId="202652BD" w14:textId="77777777" w:rsidR="003F3414" w:rsidRPr="006847F5" w:rsidRDefault="003F3414" w:rsidP="00BE5331">
            <w:pPr>
              <w:rPr>
                <w:b/>
                <w:sz w:val="20"/>
                <w:szCs w:val="20"/>
              </w:rPr>
            </w:pPr>
            <w:r w:rsidRPr="006847F5">
              <w:rPr>
                <w:b/>
                <w:sz w:val="20"/>
                <w:szCs w:val="20"/>
              </w:rPr>
              <w:t>Measure Description</w:t>
            </w:r>
          </w:p>
          <w:p w14:paraId="7940EE67" w14:textId="77777777" w:rsidR="003F3414" w:rsidRDefault="003F3414" w:rsidP="00BE5331">
            <w:pPr>
              <w:rPr>
                <w:sz w:val="20"/>
                <w:szCs w:val="20"/>
              </w:rPr>
            </w:pPr>
            <w:r w:rsidRPr="006847F5">
              <w:rPr>
                <w:b/>
                <w:color w:val="00B050"/>
                <w:sz w:val="20"/>
                <w:szCs w:val="20"/>
              </w:rPr>
              <w:t>(Transit Specific)</w:t>
            </w:r>
          </w:p>
        </w:tc>
        <w:tc>
          <w:tcPr>
            <w:tcW w:w="756" w:type="pct"/>
          </w:tcPr>
          <w:p w14:paraId="4B06EC24" w14:textId="77777777" w:rsidR="003F3414" w:rsidRDefault="003F3414" w:rsidP="00BE5331">
            <w:pPr>
              <w:rPr>
                <w:sz w:val="20"/>
                <w:szCs w:val="20"/>
              </w:rPr>
            </w:pPr>
            <w:r w:rsidRPr="006847F5">
              <w:rPr>
                <w:b/>
                <w:sz w:val="20"/>
                <w:szCs w:val="20"/>
              </w:rPr>
              <w:t xml:space="preserve">Measure Objective </w:t>
            </w:r>
            <w:r w:rsidRPr="006847F5">
              <w:rPr>
                <w:b/>
                <w:color w:val="FF0000"/>
                <w:sz w:val="20"/>
                <w:szCs w:val="20"/>
              </w:rPr>
              <w:t>(same as SMARTSCALE)</w:t>
            </w:r>
          </w:p>
        </w:tc>
        <w:tc>
          <w:tcPr>
            <w:tcW w:w="659" w:type="pct"/>
          </w:tcPr>
          <w:p w14:paraId="639DEB55" w14:textId="77777777" w:rsidR="003F3414" w:rsidRDefault="003F3414" w:rsidP="00BE5331">
            <w:pPr>
              <w:rPr>
                <w:b/>
                <w:sz w:val="20"/>
                <w:szCs w:val="20"/>
              </w:rPr>
            </w:pPr>
            <w:r w:rsidRPr="006847F5">
              <w:rPr>
                <w:b/>
                <w:sz w:val="20"/>
                <w:szCs w:val="20"/>
              </w:rPr>
              <w:t>Data</w:t>
            </w:r>
          </w:p>
          <w:p w14:paraId="3C59F5F1" w14:textId="77777777" w:rsidR="003F3414" w:rsidRDefault="003F3414" w:rsidP="00BE5331">
            <w:pPr>
              <w:rPr>
                <w:sz w:val="20"/>
                <w:szCs w:val="20"/>
              </w:rPr>
            </w:pPr>
          </w:p>
        </w:tc>
        <w:tc>
          <w:tcPr>
            <w:tcW w:w="710" w:type="pct"/>
          </w:tcPr>
          <w:p w14:paraId="623D0520" w14:textId="77777777" w:rsidR="003F3414" w:rsidRDefault="003F3414" w:rsidP="00BE5331">
            <w:pPr>
              <w:rPr>
                <w:sz w:val="20"/>
                <w:szCs w:val="20"/>
              </w:rPr>
            </w:pPr>
            <w:r w:rsidRPr="006847F5">
              <w:rPr>
                <w:b/>
                <w:sz w:val="20"/>
                <w:szCs w:val="20"/>
              </w:rPr>
              <w:t>Definition</w:t>
            </w:r>
          </w:p>
        </w:tc>
        <w:tc>
          <w:tcPr>
            <w:tcW w:w="729" w:type="pct"/>
          </w:tcPr>
          <w:p w14:paraId="59FA9003" w14:textId="77777777" w:rsidR="003F3414" w:rsidRDefault="003F3414" w:rsidP="00BE5331">
            <w:pPr>
              <w:rPr>
                <w:sz w:val="20"/>
                <w:szCs w:val="20"/>
              </w:rPr>
            </w:pPr>
            <w:r w:rsidRPr="006847F5">
              <w:rPr>
                <w:b/>
                <w:sz w:val="20"/>
                <w:szCs w:val="20"/>
              </w:rPr>
              <w:t>Methodology</w:t>
            </w:r>
          </w:p>
        </w:tc>
        <w:tc>
          <w:tcPr>
            <w:tcW w:w="756" w:type="pct"/>
          </w:tcPr>
          <w:p w14:paraId="7C73B8CC" w14:textId="77777777" w:rsidR="003F3414" w:rsidRPr="006847F5" w:rsidRDefault="003F3414" w:rsidP="00BE5331">
            <w:pPr>
              <w:rPr>
                <w:b/>
                <w:sz w:val="20"/>
                <w:szCs w:val="20"/>
              </w:rPr>
            </w:pPr>
            <w:r w:rsidRPr="006847F5">
              <w:rPr>
                <w:b/>
                <w:sz w:val="20"/>
                <w:szCs w:val="20"/>
              </w:rPr>
              <w:t>Weighting</w:t>
            </w:r>
          </w:p>
          <w:p w14:paraId="7E857805" w14:textId="77777777" w:rsidR="003F3414" w:rsidRDefault="003F3414" w:rsidP="00BE5331">
            <w:pPr>
              <w:rPr>
                <w:sz w:val="20"/>
                <w:szCs w:val="20"/>
              </w:rPr>
            </w:pPr>
            <w:r w:rsidRPr="0005635E">
              <w:rPr>
                <w:b/>
                <w:color w:val="FF0000"/>
                <w:sz w:val="20"/>
                <w:szCs w:val="20"/>
              </w:rPr>
              <w:t>(same as SMARTSCALE)</w:t>
            </w:r>
          </w:p>
        </w:tc>
      </w:tr>
      <w:bookmarkEnd w:id="0"/>
      <w:tr w:rsidR="003F3414" w:rsidRPr="004A27C6" w14:paraId="41D17417" w14:textId="77777777" w:rsidTr="00BE5331">
        <w:tc>
          <w:tcPr>
            <w:tcW w:w="756" w:type="pct"/>
          </w:tcPr>
          <w:p w14:paraId="621D877E" w14:textId="77777777" w:rsidR="003F3414" w:rsidRPr="004A27C6" w:rsidRDefault="003F3414" w:rsidP="00BE5331">
            <w:pPr>
              <w:rPr>
                <w:sz w:val="20"/>
                <w:szCs w:val="20"/>
              </w:rPr>
            </w:pPr>
            <w:r>
              <w:rPr>
                <w:sz w:val="20"/>
                <w:szCs w:val="20"/>
              </w:rPr>
              <w:t>C.2 Person Hours of Delay</w:t>
            </w:r>
          </w:p>
        </w:tc>
        <w:tc>
          <w:tcPr>
            <w:tcW w:w="634" w:type="pct"/>
          </w:tcPr>
          <w:p w14:paraId="21E3D7EC" w14:textId="77777777" w:rsidR="003F3414" w:rsidRPr="004A27C6" w:rsidRDefault="003F3414" w:rsidP="00BE5331">
            <w:pPr>
              <w:rPr>
                <w:sz w:val="20"/>
                <w:szCs w:val="20"/>
              </w:rPr>
            </w:pPr>
            <w:r>
              <w:rPr>
                <w:sz w:val="20"/>
                <w:szCs w:val="20"/>
              </w:rPr>
              <w:t>Decrease in the number of person hours of delay for the project</w:t>
            </w:r>
          </w:p>
        </w:tc>
        <w:tc>
          <w:tcPr>
            <w:tcW w:w="756" w:type="pct"/>
          </w:tcPr>
          <w:p w14:paraId="3CDF48D5" w14:textId="77777777" w:rsidR="003F3414" w:rsidRPr="004A27C6" w:rsidRDefault="003F3414" w:rsidP="00BE5331">
            <w:pPr>
              <w:rPr>
                <w:sz w:val="20"/>
                <w:szCs w:val="20"/>
              </w:rPr>
            </w:pPr>
            <w:r>
              <w:rPr>
                <w:sz w:val="20"/>
                <w:szCs w:val="20"/>
              </w:rPr>
              <w:t>Assess the potential benefit of the project in reducing peak period person hours of delay</w:t>
            </w:r>
          </w:p>
        </w:tc>
        <w:tc>
          <w:tcPr>
            <w:tcW w:w="659" w:type="pct"/>
          </w:tcPr>
          <w:p w14:paraId="5CF9F3E3" w14:textId="1D1F7A59" w:rsidR="003F3414" w:rsidRDefault="003F3414" w:rsidP="00BE5331">
            <w:pPr>
              <w:rPr>
                <w:sz w:val="20"/>
                <w:szCs w:val="20"/>
              </w:rPr>
            </w:pPr>
            <w:r>
              <w:rPr>
                <w:sz w:val="20"/>
                <w:szCs w:val="20"/>
              </w:rPr>
              <w:t xml:space="preserve">Ridership </w:t>
            </w:r>
            <w:r w:rsidR="00413C17">
              <w:rPr>
                <w:sz w:val="20"/>
                <w:szCs w:val="20"/>
              </w:rPr>
              <w:t xml:space="preserve">(Person Throughput) </w:t>
            </w:r>
            <w:r>
              <w:rPr>
                <w:sz w:val="20"/>
                <w:szCs w:val="20"/>
              </w:rPr>
              <w:t>credit (determined for C.1.)</w:t>
            </w:r>
          </w:p>
          <w:p w14:paraId="7C0E2381" w14:textId="77777777" w:rsidR="003F3414" w:rsidRDefault="003F3414" w:rsidP="00BE5331">
            <w:pPr>
              <w:rPr>
                <w:sz w:val="20"/>
                <w:szCs w:val="20"/>
              </w:rPr>
            </w:pPr>
          </w:p>
          <w:p w14:paraId="4574F61D" w14:textId="77777777" w:rsidR="003F3414" w:rsidRDefault="003F3414" w:rsidP="00BE5331">
            <w:pPr>
              <w:rPr>
                <w:sz w:val="20"/>
                <w:szCs w:val="20"/>
              </w:rPr>
            </w:pPr>
            <w:r>
              <w:rPr>
                <w:sz w:val="20"/>
                <w:szCs w:val="20"/>
              </w:rPr>
              <w:t>Current minutes of service intervals (headways)</w:t>
            </w:r>
          </w:p>
          <w:p w14:paraId="33127FE4" w14:textId="77777777" w:rsidR="003F3414" w:rsidRDefault="003F3414" w:rsidP="00BE5331">
            <w:pPr>
              <w:rPr>
                <w:sz w:val="20"/>
                <w:szCs w:val="20"/>
              </w:rPr>
            </w:pPr>
          </w:p>
          <w:p w14:paraId="67C120FF" w14:textId="12FA7438" w:rsidR="003F3414" w:rsidRDefault="003F3414" w:rsidP="00BE5331">
            <w:pPr>
              <w:rPr>
                <w:sz w:val="20"/>
                <w:szCs w:val="20"/>
              </w:rPr>
            </w:pPr>
            <w:r>
              <w:rPr>
                <w:sz w:val="20"/>
                <w:szCs w:val="20"/>
              </w:rPr>
              <w:t>New (project) minutes of service intervals</w:t>
            </w:r>
            <w:r w:rsidR="003C3984">
              <w:rPr>
                <w:sz w:val="20"/>
                <w:szCs w:val="20"/>
              </w:rPr>
              <w:t xml:space="preserve"> (annualized)</w:t>
            </w:r>
          </w:p>
          <w:p w14:paraId="771BC84D" w14:textId="77777777" w:rsidR="003F3414" w:rsidRPr="004A27C6" w:rsidRDefault="003F3414" w:rsidP="00BE5331">
            <w:pPr>
              <w:rPr>
                <w:sz w:val="20"/>
                <w:szCs w:val="20"/>
              </w:rPr>
            </w:pPr>
          </w:p>
        </w:tc>
        <w:tc>
          <w:tcPr>
            <w:tcW w:w="710" w:type="pct"/>
          </w:tcPr>
          <w:p w14:paraId="7FE020DD" w14:textId="7CF9C700" w:rsidR="003F3414" w:rsidRPr="004A27C6" w:rsidRDefault="003F3414" w:rsidP="00BE5331">
            <w:pPr>
              <w:rPr>
                <w:sz w:val="20"/>
                <w:szCs w:val="20"/>
              </w:rPr>
            </w:pPr>
            <w:r>
              <w:rPr>
                <w:sz w:val="20"/>
                <w:szCs w:val="20"/>
              </w:rPr>
              <w:t>Improvement in travel time based on changes in frequency and availability of service</w:t>
            </w:r>
            <w:r w:rsidR="00EC49B2">
              <w:rPr>
                <w:sz w:val="20"/>
                <w:szCs w:val="20"/>
              </w:rPr>
              <w:t xml:space="preserve"> </w:t>
            </w:r>
          </w:p>
        </w:tc>
        <w:tc>
          <w:tcPr>
            <w:tcW w:w="729" w:type="pct"/>
          </w:tcPr>
          <w:p w14:paraId="5459B7E5" w14:textId="5DAE552F" w:rsidR="003F3414" w:rsidRDefault="003F3414" w:rsidP="00BE5331">
            <w:pPr>
              <w:rPr>
                <w:sz w:val="20"/>
                <w:szCs w:val="20"/>
              </w:rPr>
            </w:pPr>
            <w:r>
              <w:rPr>
                <w:sz w:val="20"/>
                <w:szCs w:val="20"/>
              </w:rPr>
              <w:t xml:space="preserve">A. </w:t>
            </w:r>
            <w:r w:rsidR="00EC49B2">
              <w:rPr>
                <w:sz w:val="20"/>
                <w:szCs w:val="20"/>
              </w:rPr>
              <w:t xml:space="preserve">Major Expansion to Existing Service: </w:t>
            </w:r>
            <w:r>
              <w:rPr>
                <w:sz w:val="20"/>
                <w:szCs w:val="20"/>
              </w:rPr>
              <w:t>Ridership credit (Person Throughput) multiplied by minutes of improved travel time</w:t>
            </w:r>
            <w:r w:rsidR="003C3984">
              <w:rPr>
                <w:sz w:val="20"/>
                <w:szCs w:val="20"/>
              </w:rPr>
              <w:t xml:space="preserve"> (annualized)</w:t>
            </w:r>
          </w:p>
          <w:p w14:paraId="5CBC284F" w14:textId="46BFAACF" w:rsidR="00EC49B2" w:rsidRDefault="00EC49B2" w:rsidP="00BE5331">
            <w:pPr>
              <w:rPr>
                <w:sz w:val="20"/>
                <w:szCs w:val="20"/>
              </w:rPr>
            </w:pPr>
          </w:p>
          <w:p w14:paraId="4208B365" w14:textId="2A717E1E" w:rsidR="00EC49B2" w:rsidRPr="00CD43F9" w:rsidRDefault="00EC49B2" w:rsidP="00BE5331">
            <w:pPr>
              <w:rPr>
                <w:color w:val="FF0000"/>
                <w:sz w:val="20"/>
                <w:szCs w:val="20"/>
              </w:rPr>
            </w:pPr>
            <w:r>
              <w:rPr>
                <w:sz w:val="20"/>
                <w:szCs w:val="20"/>
              </w:rPr>
              <w:t xml:space="preserve">B. </w:t>
            </w:r>
            <w:r w:rsidRPr="00CD43F9">
              <w:rPr>
                <w:color w:val="FF0000"/>
                <w:sz w:val="20"/>
                <w:szCs w:val="20"/>
              </w:rPr>
              <w:t>Calculations for new service to previously unserved areas TBD</w:t>
            </w:r>
          </w:p>
          <w:p w14:paraId="10F09E8A" w14:textId="77777777" w:rsidR="003F3414" w:rsidRPr="00C21C9D" w:rsidRDefault="003F3414" w:rsidP="00BE5331">
            <w:pPr>
              <w:rPr>
                <w:sz w:val="20"/>
                <w:szCs w:val="20"/>
              </w:rPr>
            </w:pPr>
          </w:p>
        </w:tc>
        <w:tc>
          <w:tcPr>
            <w:tcW w:w="756" w:type="pct"/>
          </w:tcPr>
          <w:p w14:paraId="79FEDF82" w14:textId="77777777" w:rsidR="003F3414" w:rsidRPr="004A27C6" w:rsidRDefault="003F3414" w:rsidP="00BE5331">
            <w:pPr>
              <w:rPr>
                <w:sz w:val="20"/>
                <w:szCs w:val="20"/>
              </w:rPr>
            </w:pPr>
            <w:r>
              <w:rPr>
                <w:sz w:val="20"/>
                <w:szCs w:val="20"/>
              </w:rPr>
              <w:t>50%</w:t>
            </w:r>
          </w:p>
        </w:tc>
      </w:tr>
    </w:tbl>
    <w:p w14:paraId="2F7E266F" w14:textId="7CCA3DAD" w:rsidR="008156CC" w:rsidRDefault="008156CC" w:rsidP="003F3414"/>
    <w:p w14:paraId="75AD1F57" w14:textId="0D983270" w:rsidR="002A1E6B" w:rsidRDefault="002A1E6B" w:rsidP="003F3414"/>
    <w:p w14:paraId="22D3A079" w14:textId="50167B02" w:rsidR="002A1E6B" w:rsidRDefault="002A1E6B" w:rsidP="002A1E6B">
      <w:pPr>
        <w:jc w:val="center"/>
      </w:pPr>
      <w:r>
        <w:t>###</w:t>
      </w:r>
    </w:p>
    <w:sectPr w:rsidR="002A1E6B" w:rsidSect="00C2470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1B5C" w14:textId="77777777" w:rsidR="00D05945" w:rsidRDefault="00D05945" w:rsidP="00D05945">
      <w:pPr>
        <w:spacing w:after="0" w:line="240" w:lineRule="auto"/>
      </w:pPr>
      <w:r>
        <w:separator/>
      </w:r>
    </w:p>
  </w:endnote>
  <w:endnote w:type="continuationSeparator" w:id="0">
    <w:p w14:paraId="6748D7E2" w14:textId="77777777" w:rsidR="00D05945" w:rsidRDefault="00D05945" w:rsidP="00D0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016069"/>
      <w:docPartObj>
        <w:docPartGallery w:val="Page Numbers (Bottom of Page)"/>
        <w:docPartUnique/>
      </w:docPartObj>
    </w:sdtPr>
    <w:sdtEndPr/>
    <w:sdtContent>
      <w:sdt>
        <w:sdtPr>
          <w:id w:val="-1769616900"/>
          <w:docPartObj>
            <w:docPartGallery w:val="Page Numbers (Top of Page)"/>
            <w:docPartUnique/>
          </w:docPartObj>
        </w:sdtPr>
        <w:sdtEndPr/>
        <w:sdtContent>
          <w:p w14:paraId="4B738296" w14:textId="37A7C956" w:rsidR="008B36B3" w:rsidRDefault="008B36B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D6E68F" w14:textId="77777777" w:rsidR="008B36B3" w:rsidRDefault="008B3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29E8" w14:textId="77777777" w:rsidR="00D05945" w:rsidRDefault="00D05945" w:rsidP="00D05945">
      <w:pPr>
        <w:spacing w:after="0" w:line="240" w:lineRule="auto"/>
      </w:pPr>
      <w:r>
        <w:separator/>
      </w:r>
    </w:p>
  </w:footnote>
  <w:footnote w:type="continuationSeparator" w:id="0">
    <w:p w14:paraId="07972C7C" w14:textId="77777777" w:rsidR="00D05945" w:rsidRDefault="00D05945" w:rsidP="00D0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597F" w14:textId="53CA3559" w:rsidR="00D05945" w:rsidRDefault="008156CC">
    <w:pPr>
      <w:pStyle w:val="Header"/>
    </w:pPr>
    <w:sdt>
      <w:sdtPr>
        <w:id w:val="1638061944"/>
        <w:docPartObj>
          <w:docPartGallery w:val="Watermarks"/>
          <w:docPartUnique/>
        </w:docPartObj>
      </w:sdtPr>
      <w:sdtEndPr/>
      <w:sdtContent>
        <w:r>
          <w:rPr>
            <w:noProof/>
          </w:rPr>
          <w:pict w14:anchorId="50ECA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333A">
      <w:t>June 26,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6BA1"/>
    <w:multiLevelType w:val="hybridMultilevel"/>
    <w:tmpl w:val="B8D69D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574AB"/>
    <w:multiLevelType w:val="hybridMultilevel"/>
    <w:tmpl w:val="15AE36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7EBA"/>
    <w:multiLevelType w:val="hybridMultilevel"/>
    <w:tmpl w:val="EDDA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52433"/>
    <w:multiLevelType w:val="hybridMultilevel"/>
    <w:tmpl w:val="F2C06A5C"/>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271790363">
    <w:abstractNumId w:val="3"/>
  </w:num>
  <w:num w:numId="2" w16cid:durableId="194849607">
    <w:abstractNumId w:val="0"/>
  </w:num>
  <w:num w:numId="3" w16cid:durableId="829521311">
    <w:abstractNumId w:val="1"/>
  </w:num>
  <w:num w:numId="4" w16cid:durableId="1050105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14"/>
    <w:rsid w:val="000C3B5A"/>
    <w:rsid w:val="001257A6"/>
    <w:rsid w:val="00126C92"/>
    <w:rsid w:val="0029090D"/>
    <w:rsid w:val="002A1E6B"/>
    <w:rsid w:val="002C470A"/>
    <w:rsid w:val="003C3984"/>
    <w:rsid w:val="003E5653"/>
    <w:rsid w:val="003F3414"/>
    <w:rsid w:val="00413C17"/>
    <w:rsid w:val="00525EC9"/>
    <w:rsid w:val="006B792A"/>
    <w:rsid w:val="006D3689"/>
    <w:rsid w:val="007A15E7"/>
    <w:rsid w:val="008156CC"/>
    <w:rsid w:val="008B1A15"/>
    <w:rsid w:val="008B36B3"/>
    <w:rsid w:val="008E621C"/>
    <w:rsid w:val="009237AC"/>
    <w:rsid w:val="00927BBC"/>
    <w:rsid w:val="00AA34FA"/>
    <w:rsid w:val="00AD65E2"/>
    <w:rsid w:val="00AE5BEC"/>
    <w:rsid w:val="00AF40FD"/>
    <w:rsid w:val="00B7733F"/>
    <w:rsid w:val="00C24707"/>
    <w:rsid w:val="00C72124"/>
    <w:rsid w:val="00CA7AEE"/>
    <w:rsid w:val="00CC234E"/>
    <w:rsid w:val="00CD43F9"/>
    <w:rsid w:val="00CE4E99"/>
    <w:rsid w:val="00D05945"/>
    <w:rsid w:val="00D8124F"/>
    <w:rsid w:val="00DC4BA5"/>
    <w:rsid w:val="00E0614A"/>
    <w:rsid w:val="00E64923"/>
    <w:rsid w:val="00EC49B2"/>
    <w:rsid w:val="00EE4DFF"/>
    <w:rsid w:val="00F17D17"/>
    <w:rsid w:val="00F56C56"/>
    <w:rsid w:val="00F8333A"/>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A41AEC"/>
  <w15:chartTrackingRefBased/>
  <w15:docId w15:val="{991DA525-ED3C-45DB-8AEE-19B0EE21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14"/>
  </w:style>
  <w:style w:type="paragraph" w:styleId="Heading1">
    <w:name w:val="heading 1"/>
    <w:basedOn w:val="Normal"/>
    <w:next w:val="Normal"/>
    <w:link w:val="Heading1Char"/>
    <w:autoRedefine/>
    <w:uiPriority w:val="9"/>
    <w:qFormat/>
    <w:rsid w:val="0029090D"/>
    <w:pPr>
      <w:keepNext/>
      <w:keepLines/>
      <w:widowControl w:val="0"/>
      <w:suppressAutoHyphens/>
      <w:spacing w:after="0" w:line="240" w:lineRule="auto"/>
      <w:outlineLvl w:val="0"/>
    </w:pPr>
    <w:rPr>
      <w:rFonts w:ascii="Arial" w:eastAsiaTheme="majorEastAsia" w:hAnsi="Arial" w:cs="Mangal"/>
      <w:b/>
      <w:color w:val="2F5496" w:themeColor="accent1" w:themeShade="BF"/>
      <w:kern w:val="1"/>
      <w:sz w:val="32"/>
      <w:szCs w:val="29"/>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90D"/>
    <w:rPr>
      <w:rFonts w:ascii="Arial" w:eastAsiaTheme="majorEastAsia" w:hAnsi="Arial" w:cs="Mangal"/>
      <w:b/>
      <w:color w:val="2F5496" w:themeColor="accent1" w:themeShade="BF"/>
      <w:kern w:val="1"/>
      <w:sz w:val="32"/>
      <w:szCs w:val="29"/>
      <w:lang w:eastAsia="hi-IN" w:bidi="hi-IN"/>
    </w:rPr>
  </w:style>
  <w:style w:type="paragraph" w:styleId="Title">
    <w:name w:val="Title"/>
    <w:basedOn w:val="Normal"/>
    <w:next w:val="Normal"/>
    <w:link w:val="TitleChar"/>
    <w:autoRedefine/>
    <w:uiPriority w:val="10"/>
    <w:qFormat/>
    <w:rsid w:val="00AE5BEC"/>
    <w:pPr>
      <w:widowControl w:val="0"/>
      <w:suppressAutoHyphens/>
      <w:spacing w:before="240" w:after="60" w:line="240" w:lineRule="auto"/>
      <w:outlineLvl w:val="0"/>
    </w:pPr>
    <w:rPr>
      <w:rFonts w:ascii="Arial" w:eastAsiaTheme="majorEastAsia" w:hAnsi="Arial" w:cs="Mangal"/>
      <w:b/>
      <w:bCs/>
      <w:i/>
      <w:kern w:val="28"/>
      <w:sz w:val="28"/>
      <w:szCs w:val="29"/>
      <w:lang w:eastAsia="hi-IN" w:bidi="hi-IN"/>
    </w:rPr>
  </w:style>
  <w:style w:type="character" w:customStyle="1" w:styleId="TitleChar">
    <w:name w:val="Title Char"/>
    <w:basedOn w:val="DefaultParagraphFont"/>
    <w:link w:val="Title"/>
    <w:uiPriority w:val="10"/>
    <w:rsid w:val="00AE5BEC"/>
    <w:rPr>
      <w:rFonts w:ascii="Arial" w:eastAsiaTheme="majorEastAsia" w:hAnsi="Arial" w:cs="Mangal"/>
      <w:b/>
      <w:bCs/>
      <w:i/>
      <w:kern w:val="28"/>
      <w:sz w:val="28"/>
      <w:szCs w:val="29"/>
      <w:lang w:eastAsia="hi-IN" w:bidi="hi-IN"/>
    </w:rPr>
  </w:style>
  <w:style w:type="table" w:styleId="TableGrid">
    <w:name w:val="Table Grid"/>
    <w:basedOn w:val="TableNormal"/>
    <w:uiPriority w:val="39"/>
    <w:rsid w:val="003F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414"/>
    <w:pPr>
      <w:ind w:left="720"/>
      <w:contextualSpacing/>
    </w:pPr>
  </w:style>
  <w:style w:type="paragraph" w:styleId="Header">
    <w:name w:val="header"/>
    <w:basedOn w:val="Normal"/>
    <w:link w:val="HeaderChar"/>
    <w:uiPriority w:val="99"/>
    <w:unhideWhenUsed/>
    <w:rsid w:val="00D05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945"/>
  </w:style>
  <w:style w:type="paragraph" w:styleId="Footer">
    <w:name w:val="footer"/>
    <w:basedOn w:val="Normal"/>
    <w:link w:val="FooterChar"/>
    <w:uiPriority w:val="99"/>
    <w:unhideWhenUsed/>
    <w:rsid w:val="00D05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945"/>
  </w:style>
  <w:style w:type="paragraph" w:styleId="BalloonText">
    <w:name w:val="Balloon Text"/>
    <w:basedOn w:val="Normal"/>
    <w:link w:val="BalloonTextChar"/>
    <w:uiPriority w:val="99"/>
    <w:semiHidden/>
    <w:unhideWhenUsed/>
    <w:rsid w:val="00D81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1932-BE73-48C0-83F7-A4ABF1D8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Smith</dc:creator>
  <cp:keywords/>
  <dc:description/>
  <cp:lastModifiedBy>Wright, Andrew (DRPT)</cp:lastModifiedBy>
  <cp:revision>2</cp:revision>
  <cp:lastPrinted>2018-06-26T16:41:00Z</cp:lastPrinted>
  <dcterms:created xsi:type="dcterms:W3CDTF">2025-09-23T15:37:00Z</dcterms:created>
  <dcterms:modified xsi:type="dcterms:W3CDTF">2025-09-23T15:37:00Z</dcterms:modified>
</cp:coreProperties>
</file>